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0DC7A" w14:textId="77777777" w:rsidR="00841F84" w:rsidRDefault="00841F84" w:rsidP="00841F84">
      <w:r w:rsidRPr="00D149E9">
        <w:t>Ausschreibungstext</w:t>
      </w:r>
    </w:p>
    <w:p w14:paraId="3856EFAA" w14:textId="77777777" w:rsidR="00FD4E2F" w:rsidRDefault="00683E05" w:rsidP="00841F84">
      <w:pPr>
        <w:rPr>
          <w:b/>
          <w:sz w:val="28"/>
          <w:szCs w:val="28"/>
        </w:rPr>
      </w:pPr>
      <w:r w:rsidRPr="00683E05">
        <w:rPr>
          <w:b/>
          <w:sz w:val="28"/>
          <w:szCs w:val="28"/>
        </w:rPr>
        <w:t>PE</w:t>
      </w:r>
      <w:r w:rsidR="00571120">
        <w:rPr>
          <w:b/>
          <w:sz w:val="28"/>
          <w:szCs w:val="28"/>
        </w:rPr>
        <w:t xml:space="preserve"> </w:t>
      </w:r>
      <w:r w:rsidRPr="00683E05">
        <w:rPr>
          <w:b/>
          <w:sz w:val="28"/>
          <w:szCs w:val="28"/>
        </w:rPr>
        <w:t xml:space="preserve">100 </w:t>
      </w:r>
      <w:r w:rsidR="00E66C6C">
        <w:rPr>
          <w:b/>
          <w:sz w:val="28"/>
          <w:szCs w:val="28"/>
        </w:rPr>
        <w:t>Pass- und Ausbaustück QUICK-TWIST</w:t>
      </w:r>
    </w:p>
    <w:p w14:paraId="7A352133" w14:textId="77777777" w:rsidR="00841F84" w:rsidRPr="0009241A" w:rsidRDefault="00841F84" w:rsidP="00841F84">
      <w:pPr>
        <w:rPr>
          <w:b/>
        </w:rPr>
      </w:pPr>
      <w:r w:rsidRPr="0009241A">
        <w:rPr>
          <w:b/>
        </w:rPr>
        <w:t>Allgemeine Vorbemerkung</w:t>
      </w:r>
    </w:p>
    <w:p w14:paraId="63479690" w14:textId="27AC26A9" w:rsidR="00F218EC" w:rsidRDefault="00320C7F" w:rsidP="00683E05">
      <w:r>
        <w:t xml:space="preserve">Die anzubietenden Formteile </w:t>
      </w:r>
      <w:r w:rsidR="00656CD3">
        <w:t xml:space="preserve">müssen </w:t>
      </w:r>
      <w:r w:rsidR="00683E05">
        <w:t>aus Material entsprechend der PE100+ Association hergestellt sein und hinsichtlich Dimensionen, Toleranzen und Güt</w:t>
      </w:r>
      <w:r w:rsidR="00656CD3">
        <w:t>eanforderungen der DIN EN 12201</w:t>
      </w:r>
      <w:r w:rsidR="00683E05">
        <w:t xml:space="preserve"> entsprechen. </w:t>
      </w:r>
      <w:r w:rsidR="00656CD3">
        <w:t>Die Formteile müssen sowohl in der Flansch-Flansch-Ausführung als auch in der optional erhältlichen Flansch-Spitzende-Ausführung mit grobem Gewinde</w:t>
      </w:r>
      <w:r w:rsidR="009D5C88">
        <w:t xml:space="preserve"> mit patentiertem Gewindespiel</w:t>
      </w:r>
      <w:r w:rsidR="00656CD3">
        <w:t xml:space="preserve"> für die Einstellmöglichkeit </w:t>
      </w:r>
      <w:r w:rsidR="001A7F6F">
        <w:t xml:space="preserve">+/- 15 mm </w:t>
      </w:r>
      <w:r w:rsidR="00656CD3">
        <w:t>des Pass- und Ausbaustückes ausgeführt s</w:t>
      </w:r>
      <w:r w:rsidR="00F218EC">
        <w:t>ein.</w:t>
      </w:r>
    </w:p>
    <w:p w14:paraId="4C680806" w14:textId="5AFA5A94" w:rsidR="00F218EC" w:rsidRDefault="00F218EC" w:rsidP="00F218EC">
      <w:r>
        <w:t xml:space="preserve">Die PE-Formteilkörper müssen jeweils aus einem Stück homogenen Halbzeugs </w:t>
      </w:r>
      <w:r w:rsidR="009D5C88">
        <w:t xml:space="preserve">alternativ im Spritzgießverfahren </w:t>
      </w:r>
      <w:r>
        <w:t>hergestellt sein. Aus Wickelstab hergestellte Halbzeuge sind nicht zulässig.</w:t>
      </w:r>
      <w:r w:rsidRPr="00F218EC">
        <w:t xml:space="preserve"> </w:t>
      </w:r>
    </w:p>
    <w:p w14:paraId="4E08B5BB" w14:textId="7F4B23AD" w:rsidR="00656CD3" w:rsidRDefault="00F218EC" w:rsidP="00683E05">
      <w:r>
        <w:t>Die Flansche müssen entsprechend der DIN EN 1092-1 PN 10 bzw. PN 16 gebohrt sein. Bund und Flansch müssen an ihren Verbindungsflächen formschlüssig ineinander greifen, der Flansch den Bund zusätzlich von außen noch stützen, um einer Verformung entgegenzuwirken. Dies bewirkt eine volle Druckbelastbarkeit der Flanschverbindung entsprechend der Rohrdimensionierung. Der Hinterlegflansch der Festflanschseite muss mit einer Tellerfederfunktion ausgestattet sein, die die Vorspannung nach Anziehen der Schrauben aufrechterhält. Der Bund der Festflanschseite</w:t>
      </w:r>
      <w:r w:rsidR="00AE1F61">
        <w:t xml:space="preserve"> sowie die Gewindeabdichtung</w:t>
      </w:r>
      <w:r>
        <w:t xml:space="preserve"> </w:t>
      </w:r>
      <w:r w:rsidR="00AE1F61">
        <w:t>sind</w:t>
      </w:r>
      <w:r>
        <w:t xml:space="preserve"> mit einer der Dimension </w:t>
      </w:r>
      <w:r w:rsidR="00AE1F61">
        <w:t xml:space="preserve">und der Anwendung (TW </w:t>
      </w:r>
      <w:r w:rsidR="00AE1F61">
        <w:sym w:font="Wingdings" w:char="F0E8"/>
      </w:r>
      <w:r w:rsidR="00AE1F61">
        <w:t xml:space="preserve"> EPDM</w:t>
      </w:r>
      <w:r w:rsidR="005845DE">
        <w:t xml:space="preserve"> | </w:t>
      </w:r>
      <w:r w:rsidR="00AE1F61">
        <w:t xml:space="preserve">AW </w:t>
      </w:r>
      <w:r w:rsidR="00AE1F61">
        <w:sym w:font="Wingdings" w:char="F0E8"/>
      </w:r>
      <w:r w:rsidR="00AE1F61">
        <w:t xml:space="preserve"> NBR) </w:t>
      </w:r>
      <w:r>
        <w:t xml:space="preserve">entsprechenden O-Ring-Dichtung zu versehen. </w:t>
      </w:r>
      <w:r w:rsidR="00683E05">
        <w:t>Die Hinterlegflansche müssen aus korrosionsfreiem, faserverstärkt</w:t>
      </w:r>
      <w:r w:rsidR="00656CD3">
        <w:t>em</w:t>
      </w:r>
      <w:r w:rsidR="00AE1F61">
        <w:t>, hochfestem</w:t>
      </w:r>
      <w:r w:rsidR="00656CD3">
        <w:t xml:space="preserve"> Kunststoff </w:t>
      </w:r>
      <w:r w:rsidR="009D5C88">
        <w:t xml:space="preserve">oder aus Stahl mit Kunststoffbeschichtung nach DIN EN 10310 bzw. Edelstahl </w:t>
      </w:r>
      <w:r w:rsidR="00656CD3">
        <w:t>hergestellt sein.</w:t>
      </w:r>
      <w:r w:rsidR="00AE1F61">
        <w:t xml:space="preserve"> </w:t>
      </w:r>
    </w:p>
    <w:p w14:paraId="3F30A1D2" w14:textId="77777777" w:rsidR="00683E05" w:rsidRDefault="00683E05" w:rsidP="00683E05">
      <w:r>
        <w:t>Der Nachweis der Herstellung auf Basis eines Qualitätssicherungssystems nach DIN EN ISO 9001 ist zu erbringen. Für alle Formteile ist ein Zeugnis nach DIN EN 10204 vom Hersteller vorzulegen.</w:t>
      </w:r>
    </w:p>
    <w:p w14:paraId="47BCDBCA" w14:textId="77777777" w:rsidR="00683E05" w:rsidRDefault="00683E05" w:rsidP="00683E05">
      <w:r>
        <w:t>D</w:t>
      </w:r>
      <w:r w:rsidR="00F218EC">
        <w:t>as</w:t>
      </w:r>
      <w:r>
        <w:t xml:space="preserve"> </w:t>
      </w:r>
      <w:r w:rsidR="00F218EC">
        <w:t>anstelle des Festflansches optional erhältliche Spitzende</w:t>
      </w:r>
      <w:r>
        <w:t xml:space="preserve"> </w:t>
      </w:r>
      <w:r w:rsidR="00F218EC">
        <w:t>i</w:t>
      </w:r>
      <w:r>
        <w:t>s</w:t>
      </w:r>
      <w:r w:rsidR="00F218EC">
        <w:t>t</w:t>
      </w:r>
      <w:r>
        <w:t xml:space="preserve"> in langer Form auszuführen, um sowohl eine H</w:t>
      </w:r>
      <w:r w:rsidR="009E6F70">
        <w:t>eizelements</w:t>
      </w:r>
      <w:r>
        <w:t xml:space="preserve">tumpfschweißung </w:t>
      </w:r>
      <w:r w:rsidR="009E6F70">
        <w:t xml:space="preserve">(HS) </w:t>
      </w:r>
      <w:r>
        <w:t>als auch eine H</w:t>
      </w:r>
      <w:r w:rsidR="009E6F70">
        <w:t>eizwendels</w:t>
      </w:r>
      <w:r>
        <w:t xml:space="preserve">chweißung </w:t>
      </w:r>
      <w:r w:rsidR="009E6F70">
        <w:t xml:space="preserve">(HM) </w:t>
      </w:r>
      <w:r>
        <w:t>ausführen zu können.</w:t>
      </w:r>
    </w:p>
    <w:p w14:paraId="3348C0CE" w14:textId="77777777" w:rsidR="001A7F6F" w:rsidRDefault="00683E05" w:rsidP="00AE1F61">
      <w:r>
        <w:t>Optional erhältliche Ausführung</w:t>
      </w:r>
      <w:r w:rsidR="005845DE">
        <w:t>en</w:t>
      </w:r>
      <w:r w:rsidR="001A7F6F">
        <w:t>:</w:t>
      </w:r>
    </w:p>
    <w:p w14:paraId="0919724F" w14:textId="77777777" w:rsidR="00AE1F61" w:rsidRDefault="00AE1F61" w:rsidP="001A7F6F">
      <w:pPr>
        <w:pStyle w:val="Listenabsatz"/>
        <w:numPr>
          <w:ilvl w:val="0"/>
          <w:numId w:val="2"/>
        </w:numPr>
      </w:pPr>
      <w:r>
        <w:t>S</w:t>
      </w:r>
      <w:r w:rsidR="00656CD3">
        <w:t>pitzende zum Einschweißen anstelle der Festflanschseite</w:t>
      </w:r>
    </w:p>
    <w:p w14:paraId="30430183" w14:textId="1253EF79" w:rsidR="001A7F6F" w:rsidRDefault="001A7F6F" w:rsidP="001A7F6F">
      <w:pPr>
        <w:pStyle w:val="Listenabsatz"/>
        <w:numPr>
          <w:ilvl w:val="0"/>
          <w:numId w:val="2"/>
        </w:numPr>
      </w:pPr>
      <w:r>
        <w:t>Mit längerem Verstellweg</w:t>
      </w:r>
    </w:p>
    <w:p w14:paraId="3916B2C6" w14:textId="7B8A3B75" w:rsidR="009D5C88" w:rsidRDefault="009D5C88" w:rsidP="001A7F6F">
      <w:pPr>
        <w:pStyle w:val="Listenabsatz"/>
        <w:numPr>
          <w:ilvl w:val="0"/>
          <w:numId w:val="2"/>
        </w:numPr>
      </w:pPr>
      <w:r>
        <w:t>Mit größerer Baulänge</w:t>
      </w:r>
    </w:p>
    <w:p w14:paraId="159DDD01" w14:textId="77777777" w:rsidR="001A7F6F" w:rsidRDefault="001A7F6F" w:rsidP="001A7F6F">
      <w:pPr>
        <w:pStyle w:val="Listenabsatz"/>
        <w:numPr>
          <w:ilvl w:val="0"/>
          <w:numId w:val="2"/>
        </w:numPr>
      </w:pPr>
      <w:r>
        <w:t>Unterschiedliche Flanschabmessungen je Seite</w:t>
      </w:r>
    </w:p>
    <w:p w14:paraId="64341DBE" w14:textId="77777777" w:rsidR="00841F84" w:rsidRPr="0009241A" w:rsidRDefault="00841F84" w:rsidP="00841F84">
      <w:pPr>
        <w:rPr>
          <w:b/>
        </w:rPr>
      </w:pPr>
      <w:r w:rsidRPr="0009241A">
        <w:rPr>
          <w:b/>
        </w:rPr>
        <w:t>Normen/Richtlinien</w:t>
      </w:r>
    </w:p>
    <w:p w14:paraId="3E65EC92" w14:textId="77777777" w:rsidR="00FD4E2F" w:rsidRDefault="00FD4E2F" w:rsidP="00841F84">
      <w:r w:rsidRPr="00FD4E2F">
        <w:t xml:space="preserve">DIN EN 12201, DIN EN 1092-1, </w:t>
      </w:r>
      <w:r w:rsidR="00AE1F61">
        <w:t xml:space="preserve">DIN EN 681-1, </w:t>
      </w:r>
      <w:r w:rsidRPr="00FD4E2F">
        <w:t xml:space="preserve">DVS 2207, </w:t>
      </w:r>
      <w:r w:rsidR="003C5A77">
        <w:t xml:space="preserve">DVS 2210, </w:t>
      </w:r>
      <w:r w:rsidRPr="00FD4E2F">
        <w:t>DIN EN 10204, DIN EN ISO 9001, DIN EN ISO 50001, DVGW W 400-2, DVGW GW 335</w:t>
      </w:r>
    </w:p>
    <w:p w14:paraId="6731821E" w14:textId="77777777" w:rsidR="00841F84" w:rsidRPr="0009241A" w:rsidRDefault="00841F84" w:rsidP="00841F84">
      <w:pPr>
        <w:rPr>
          <w:b/>
        </w:rPr>
      </w:pPr>
      <w:r w:rsidRPr="0009241A">
        <w:rPr>
          <w:b/>
        </w:rPr>
        <w:t>Zulassungen/Zertifikate</w:t>
      </w:r>
    </w:p>
    <w:p w14:paraId="71599402" w14:textId="6D81C866" w:rsidR="00FD4E2F" w:rsidRDefault="00FD4E2F" w:rsidP="00841F84">
      <w:pPr>
        <w:spacing w:after="0" w:line="240" w:lineRule="auto"/>
      </w:pPr>
      <w:r w:rsidRPr="00FD4E2F">
        <w:t xml:space="preserve">DVGW: </w:t>
      </w:r>
      <w:r w:rsidR="00437A7B">
        <w:t xml:space="preserve">Flanschseiten </w:t>
      </w:r>
      <w:r w:rsidRPr="00FD4E2F">
        <w:t>DV-8606BT0423 und DV-8611BT0424</w:t>
      </w:r>
    </w:p>
    <w:p w14:paraId="14900C23" w14:textId="77777777" w:rsidR="00841F84" w:rsidRDefault="00841F84" w:rsidP="00841F84">
      <w:pPr>
        <w:spacing w:after="0" w:line="240" w:lineRule="auto"/>
      </w:pPr>
      <w:r>
        <w:t>Abnahmeprüfzeugnis 3.1 nach DIN EN ISO 10204 am Halbzeug vom verarbeiteten Rohstoff mit Angabe von MFR und OIT; nur PE</w:t>
      </w:r>
      <w:r w:rsidR="00571120">
        <w:t xml:space="preserve"> </w:t>
      </w:r>
      <w:r>
        <w:t>100 Material gem. PE100+ Association</w:t>
      </w:r>
    </w:p>
    <w:p w14:paraId="752E547B" w14:textId="77777777" w:rsidR="00841F84" w:rsidRDefault="00841F84" w:rsidP="00841F84">
      <w:pPr>
        <w:spacing w:after="0" w:line="240" w:lineRule="auto"/>
      </w:pPr>
      <w:r>
        <w:t>Hersteller zertifiziert nach ISO 9001:2015 und ISO 50001:2011</w:t>
      </w:r>
    </w:p>
    <w:p w14:paraId="0D6BF49D" w14:textId="77777777" w:rsidR="00841F84" w:rsidRDefault="00841F84" w:rsidP="00841F84">
      <w:pPr>
        <w:rPr>
          <w:b/>
        </w:rPr>
      </w:pPr>
    </w:p>
    <w:p w14:paraId="0193DD51" w14:textId="5D13F7F2" w:rsidR="00841F84" w:rsidRPr="0009241A" w:rsidRDefault="00841F84" w:rsidP="00841F84">
      <w:pPr>
        <w:rPr>
          <w:b/>
        </w:rPr>
      </w:pPr>
      <w:r w:rsidRPr="0009241A">
        <w:rPr>
          <w:b/>
        </w:rPr>
        <w:t>Hersteller</w:t>
      </w:r>
    </w:p>
    <w:p w14:paraId="209E1B55" w14:textId="77777777" w:rsidR="00841F84" w:rsidRDefault="00841F84" w:rsidP="00841F84">
      <w:r w:rsidRPr="00F16DFB">
        <w:t>Reinert-Ritz GmbH oder gleichwertig</w:t>
      </w:r>
    </w:p>
    <w:p w14:paraId="6C8B5A7A" w14:textId="77777777" w:rsidR="00841F84" w:rsidRDefault="00841F84" w:rsidP="00841F84"/>
    <w:p w14:paraId="391AF46B" w14:textId="77777777" w:rsidR="00FD4E2F" w:rsidRDefault="00FD4E2F" w:rsidP="00841F84"/>
    <w:p w14:paraId="5A1F72EE" w14:textId="77777777" w:rsidR="00FD4E2F" w:rsidRDefault="00FD4E2F" w:rsidP="00841F84"/>
    <w:p w14:paraId="0388E7EF" w14:textId="5F6C6964" w:rsidR="00841F84" w:rsidRPr="0009241A" w:rsidRDefault="00841F84" w:rsidP="00841F84">
      <w:pPr>
        <w:rPr>
          <w:b/>
        </w:rPr>
      </w:pPr>
      <w:r w:rsidRPr="0009241A">
        <w:rPr>
          <w:b/>
        </w:rPr>
        <w:t>Leistungsbeschreibung</w:t>
      </w:r>
    </w:p>
    <w:p w14:paraId="36367CA3" w14:textId="3ECF8768" w:rsidR="00F218EC" w:rsidRDefault="00683E05" w:rsidP="00352591">
      <w:pPr>
        <w:spacing w:after="0"/>
      </w:pPr>
      <w:r>
        <w:t>PE</w:t>
      </w:r>
      <w:r w:rsidR="00571120">
        <w:t xml:space="preserve"> </w:t>
      </w:r>
      <w:r>
        <w:t xml:space="preserve">100 </w:t>
      </w:r>
      <w:r w:rsidR="00F218EC">
        <w:t xml:space="preserve">Pass- und Ausbaustück QUICK-TWIST </w:t>
      </w:r>
      <w:r w:rsidR="00FA5D5D">
        <w:t xml:space="preserve">PAS-FF </w:t>
      </w:r>
      <w:r w:rsidR="00F218EC">
        <w:t>Flansch-Flansch-Version</w:t>
      </w:r>
      <w:r w:rsidR="00AE1F61">
        <w:t xml:space="preserve">, jeweils mit einer Losflansch- und einer Festflanschseite </w:t>
      </w:r>
      <w:r w:rsidR="00F218EC">
        <w:t xml:space="preserve">mit </w:t>
      </w:r>
      <w:r>
        <w:t>Hinterlegflansch</w:t>
      </w:r>
      <w:r w:rsidR="00F218EC">
        <w:t>en</w:t>
      </w:r>
      <w:r>
        <w:t xml:space="preserve"> aus korrosionsfreiem, faserverstärktem</w:t>
      </w:r>
      <w:r w:rsidR="00AE1F61">
        <w:t>, hochfestem</w:t>
      </w:r>
      <w:r>
        <w:t xml:space="preserve"> Kunststoff</w:t>
      </w:r>
      <w:r w:rsidR="00D93803">
        <w:t xml:space="preserve"> [alternativ aus Stahl mit Kunststoffbeschichtung nach DIN EN 10310 bzw. Edelstahl]</w:t>
      </w:r>
      <w:r w:rsidR="00F218EC">
        <w:t>,</w:t>
      </w:r>
      <w:r>
        <w:t xml:space="preserve"> mit EPDM</w:t>
      </w:r>
      <w:r w:rsidR="00AE1F61">
        <w:t xml:space="preserve"> [alt. NBR]</w:t>
      </w:r>
      <w:r>
        <w:t>-O-Ring</w:t>
      </w:r>
      <w:r w:rsidR="00F218EC">
        <w:t xml:space="preserve"> auf Festflanschseite</w:t>
      </w:r>
      <w:r>
        <w:t>, ausgelegt für volle Druckbelastbarkeit, gebohrt nach DIN EN 1092-1,</w:t>
      </w:r>
      <w:r w:rsidR="00352591">
        <w:t xml:space="preserve"> </w:t>
      </w:r>
    </w:p>
    <w:p w14:paraId="6358579F" w14:textId="3A8A83C3" w:rsidR="00683E05" w:rsidRDefault="00D93803" w:rsidP="00352591">
      <w:pPr>
        <w:spacing w:after="0"/>
      </w:pPr>
      <w:r>
        <w:rPr>
          <w:noProof/>
          <w:lang w:eastAsia="de-DE"/>
        </w:rPr>
        <w:drawing>
          <wp:anchor distT="0" distB="0" distL="114300" distR="114300" simplePos="0" relativeHeight="251659264" behindDoc="1" locked="0" layoutInCell="1" allowOverlap="1" wp14:anchorId="171FD77F" wp14:editId="7C533A87">
            <wp:simplePos x="0" y="0"/>
            <wp:positionH relativeFrom="margin">
              <wp:posOffset>2536190</wp:posOffset>
            </wp:positionH>
            <wp:positionV relativeFrom="paragraph">
              <wp:posOffset>6350</wp:posOffset>
            </wp:positionV>
            <wp:extent cx="742950" cy="869315"/>
            <wp:effectExtent l="0" t="0" r="0" b="6985"/>
            <wp:wrapTight wrapText="bothSides">
              <wp:wrapPolygon edited="0">
                <wp:start x="0" y="0"/>
                <wp:lineTo x="0" y="21300"/>
                <wp:lineTo x="21046" y="21300"/>
                <wp:lineTo x="2104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742950" cy="869315"/>
                    </a:xfrm>
                    <a:prstGeom prst="rect">
                      <a:avLst/>
                    </a:prstGeom>
                  </pic:spPr>
                </pic:pic>
              </a:graphicData>
            </a:graphic>
            <wp14:sizeRelH relativeFrom="margin">
              <wp14:pctWidth>0</wp14:pctWidth>
            </wp14:sizeRelH>
          </wp:anchor>
        </w:drawing>
      </w:r>
      <w:r w:rsidR="00683E05">
        <w:t>DN …</w:t>
      </w:r>
    </w:p>
    <w:p w14:paraId="4F2669DE" w14:textId="77777777" w:rsidR="00683E05" w:rsidRDefault="009E6F70" w:rsidP="00352591">
      <w:pPr>
        <w:spacing w:after="0"/>
      </w:pPr>
      <w:r>
        <w:t>PN</w:t>
      </w:r>
      <w:r w:rsidR="00683E05">
        <w:t xml:space="preserve"> … </w:t>
      </w:r>
    </w:p>
    <w:p w14:paraId="0FB85433" w14:textId="77777777" w:rsidR="00841F84" w:rsidRDefault="00196E22" w:rsidP="00352591">
      <w:pPr>
        <w:spacing w:after="0"/>
      </w:pPr>
      <w:r>
        <w:t xml:space="preserve">Ausgelegt nach </w:t>
      </w:r>
      <w:r w:rsidR="009E6F70">
        <w:t>SDR</w:t>
      </w:r>
      <w:r w:rsidR="00683E05">
        <w:t xml:space="preserve"> ...</w:t>
      </w:r>
    </w:p>
    <w:p w14:paraId="2D82E73E" w14:textId="4413C9A3" w:rsidR="00352591" w:rsidRDefault="00352591" w:rsidP="00841F84">
      <w:pPr>
        <w:rPr>
          <w:b/>
        </w:rPr>
      </w:pPr>
    </w:p>
    <w:p w14:paraId="462B39C5" w14:textId="03542651" w:rsidR="00ED7293" w:rsidRDefault="00ED7293" w:rsidP="00841F84">
      <w:pPr>
        <w:rPr>
          <w:b/>
        </w:rPr>
      </w:pPr>
    </w:p>
    <w:p w14:paraId="60CA5917" w14:textId="75BC8D6F" w:rsidR="00ED7293" w:rsidRDefault="00ED7293" w:rsidP="00ED7293">
      <w:pPr>
        <w:spacing w:after="0"/>
      </w:pPr>
      <w:r>
        <w:rPr>
          <w:b/>
          <w:noProof/>
        </w:rPr>
        <w:drawing>
          <wp:anchor distT="0" distB="0" distL="114300" distR="114300" simplePos="0" relativeHeight="251660288" behindDoc="1" locked="0" layoutInCell="1" allowOverlap="1" wp14:anchorId="24F44908" wp14:editId="66C27999">
            <wp:simplePos x="0" y="0"/>
            <wp:positionH relativeFrom="column">
              <wp:posOffset>2552065</wp:posOffset>
            </wp:positionH>
            <wp:positionV relativeFrom="paragraph">
              <wp:posOffset>614045</wp:posOffset>
            </wp:positionV>
            <wp:extent cx="811530" cy="965835"/>
            <wp:effectExtent l="18097" t="0" r="6668" b="0"/>
            <wp:wrapTight wrapText="bothSides">
              <wp:wrapPolygon edited="0">
                <wp:start x="-167" y="16323"/>
                <wp:lineTo x="-281" y="19835"/>
                <wp:lineTo x="15348" y="23499"/>
                <wp:lineTo x="17630" y="21380"/>
                <wp:lineTo x="18993" y="17277"/>
                <wp:lineTo x="18891" y="12830"/>
                <wp:lineTo x="16437" y="1197"/>
                <wp:lineTo x="11065" y="-63"/>
                <wp:lineTo x="4977" y="5587"/>
                <wp:lineTo x="1059" y="12630"/>
                <wp:lineTo x="-167" y="16323"/>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4464564">
                      <a:off x="0" y="0"/>
                      <a:ext cx="811530" cy="96583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PE 100 Pass- und Ausbaustück QUICK-TWIST PAS-FF Flansch-Flansch-Version, </w:t>
      </w:r>
      <w:r w:rsidRPr="0000076C">
        <w:rPr>
          <w:b/>
          <w:bCs/>
        </w:rPr>
        <w:t>reduziert</w:t>
      </w:r>
      <w:r>
        <w:t>, mit zwei Losflanschen, mit Hinterlegflanschen aus korrosionsfreiem, faserverstärktem, hochfestem Kunststoff,</w:t>
      </w:r>
      <w:r w:rsidR="00D93803" w:rsidRPr="00D93803">
        <w:t xml:space="preserve"> </w:t>
      </w:r>
      <w:r w:rsidR="00D93803">
        <w:t xml:space="preserve">[alternativ aus Stahl mit Kunststoffbeschichtung nach DIN EN 10310 bzw. Edelstahl], </w:t>
      </w:r>
      <w:r>
        <w:t xml:space="preserve">ausgelegt für volle Druckbelastbarkeit, gebohrt nach DIN EN 1092-1, </w:t>
      </w:r>
    </w:p>
    <w:p w14:paraId="4DC8AC5C" w14:textId="0C239DC2" w:rsidR="00ED7293" w:rsidRDefault="00ED7293" w:rsidP="00ED7293">
      <w:pPr>
        <w:spacing w:after="0"/>
      </w:pPr>
      <w:r>
        <w:t>DN</w:t>
      </w:r>
      <w:r w:rsidRPr="0000076C">
        <w:rPr>
          <w:vertAlign w:val="subscript"/>
        </w:rPr>
        <w:t>1</w:t>
      </w:r>
      <w:r>
        <w:t xml:space="preserve"> …</w:t>
      </w:r>
    </w:p>
    <w:p w14:paraId="26891991" w14:textId="69FD9492" w:rsidR="00ED7293" w:rsidRDefault="00ED7293" w:rsidP="00ED7293">
      <w:pPr>
        <w:spacing w:after="0"/>
      </w:pPr>
      <w:r>
        <w:t>PN</w:t>
      </w:r>
      <w:r w:rsidR="0000076C" w:rsidRPr="00D93803">
        <w:rPr>
          <w:vertAlign w:val="subscript"/>
        </w:rPr>
        <w:t>1</w:t>
      </w:r>
      <w:r>
        <w:t xml:space="preserve"> … </w:t>
      </w:r>
    </w:p>
    <w:p w14:paraId="161B2027" w14:textId="7D7C6CD6" w:rsidR="0000076C" w:rsidRDefault="0000076C" w:rsidP="0000076C">
      <w:pPr>
        <w:spacing w:after="0"/>
      </w:pPr>
      <w:r>
        <w:t>DN</w:t>
      </w:r>
      <w:r>
        <w:rPr>
          <w:vertAlign w:val="subscript"/>
        </w:rPr>
        <w:t>2</w:t>
      </w:r>
      <w:r>
        <w:t xml:space="preserve"> …</w:t>
      </w:r>
    </w:p>
    <w:p w14:paraId="29AD3D2E" w14:textId="216C0FB3" w:rsidR="0000076C" w:rsidRDefault="0000076C" w:rsidP="0000076C">
      <w:pPr>
        <w:spacing w:after="0"/>
      </w:pPr>
      <w:r>
        <w:t>PN</w:t>
      </w:r>
      <w:r>
        <w:rPr>
          <w:vertAlign w:val="subscript"/>
        </w:rPr>
        <w:t>2</w:t>
      </w:r>
      <w:r>
        <w:t xml:space="preserve"> … </w:t>
      </w:r>
    </w:p>
    <w:p w14:paraId="1CFC4CCD" w14:textId="77777777" w:rsidR="0000076C" w:rsidRDefault="0000076C" w:rsidP="00ED7293">
      <w:pPr>
        <w:spacing w:after="0"/>
      </w:pPr>
    </w:p>
    <w:p w14:paraId="74A6A8D6" w14:textId="5F8218BF" w:rsidR="00ED7293" w:rsidRDefault="00ED7293" w:rsidP="00ED7293">
      <w:pPr>
        <w:spacing w:after="0"/>
      </w:pPr>
      <w:r>
        <w:t>Ausgelegt nach SDR ...</w:t>
      </w:r>
    </w:p>
    <w:p w14:paraId="4E4EAC8B" w14:textId="3B3E3667" w:rsidR="00ED7293" w:rsidRDefault="00ED7293" w:rsidP="00841F84">
      <w:pPr>
        <w:rPr>
          <w:b/>
        </w:rPr>
      </w:pPr>
    </w:p>
    <w:p w14:paraId="207F7308" w14:textId="77777777" w:rsidR="00D93803" w:rsidRDefault="00D93803" w:rsidP="00AE1F61">
      <w:pPr>
        <w:spacing w:after="0"/>
      </w:pPr>
    </w:p>
    <w:p w14:paraId="75011241" w14:textId="7AC514D1" w:rsidR="00AE1F61" w:rsidRDefault="00AE1F61" w:rsidP="00AE1F61">
      <w:pPr>
        <w:spacing w:after="0"/>
      </w:pPr>
      <w:r>
        <w:t xml:space="preserve">PE 100 Pass- und Ausbaustück QUICK-TWIST </w:t>
      </w:r>
      <w:r w:rsidR="00FA5D5D">
        <w:t xml:space="preserve">PAS-FS </w:t>
      </w:r>
      <w:r>
        <w:t xml:space="preserve">Flansch-Spitzende-Version mit </w:t>
      </w:r>
      <w:r w:rsidR="00196E22">
        <w:t xml:space="preserve">einer Losflanschseite mit </w:t>
      </w:r>
      <w:r>
        <w:t>Hinterlegflansch aus korrosionsfreiem, faserverstärktem</w:t>
      </w:r>
      <w:r w:rsidR="00196E22">
        <w:t>, hochfestem</w:t>
      </w:r>
      <w:r>
        <w:t xml:space="preserve"> Kunststoff</w:t>
      </w:r>
      <w:r w:rsidR="00196E22">
        <w:t xml:space="preserve"> </w:t>
      </w:r>
      <w:r w:rsidR="00D93803">
        <w:t xml:space="preserve">[alternativ aus Stahl mit Kunststoffbeschichtung nach DIN EN 10310 bzw. Edelstahl], </w:t>
      </w:r>
      <w:r w:rsidR="00196E22">
        <w:t>und einer Spitzendseite der Rohrdimension entsprechend</w:t>
      </w:r>
      <w:r>
        <w:t xml:space="preserve">, ausgelegt für volle Druckbelastbarkeit, gebohrt nach DIN EN 1092-1, </w:t>
      </w:r>
    </w:p>
    <w:p w14:paraId="45264E09" w14:textId="77777777" w:rsidR="00AE1F61" w:rsidRDefault="00AE1F61" w:rsidP="00AE1F61">
      <w:pPr>
        <w:spacing w:after="0"/>
      </w:pPr>
      <w:r>
        <w:t>DN …</w:t>
      </w:r>
    </w:p>
    <w:p w14:paraId="698C8403" w14:textId="77777777" w:rsidR="00AE1F61" w:rsidRDefault="00F130C9" w:rsidP="00AE1F61">
      <w:pPr>
        <w:spacing w:after="0"/>
      </w:pPr>
      <w:r>
        <w:rPr>
          <w:noProof/>
          <w:lang w:eastAsia="de-DE"/>
        </w:rPr>
        <w:drawing>
          <wp:anchor distT="0" distB="0" distL="114300" distR="114300" simplePos="0" relativeHeight="251658240" behindDoc="1" locked="0" layoutInCell="1" allowOverlap="1" wp14:anchorId="3D89FDD2" wp14:editId="71DB3727">
            <wp:simplePos x="0" y="0"/>
            <wp:positionH relativeFrom="margin">
              <wp:posOffset>2488565</wp:posOffset>
            </wp:positionH>
            <wp:positionV relativeFrom="paragraph">
              <wp:posOffset>12700</wp:posOffset>
            </wp:positionV>
            <wp:extent cx="1133475" cy="824865"/>
            <wp:effectExtent l="0" t="0" r="9525" b="0"/>
            <wp:wrapTight wrapText="bothSides">
              <wp:wrapPolygon edited="0">
                <wp:start x="0" y="0"/>
                <wp:lineTo x="0" y="20952"/>
                <wp:lineTo x="21418" y="20952"/>
                <wp:lineTo x="2141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3475" cy="824865"/>
                    </a:xfrm>
                    <a:prstGeom prst="rect">
                      <a:avLst/>
                    </a:prstGeom>
                  </pic:spPr>
                </pic:pic>
              </a:graphicData>
            </a:graphic>
            <wp14:sizeRelH relativeFrom="margin">
              <wp14:pctWidth>0</wp14:pctWidth>
            </wp14:sizeRelH>
            <wp14:sizeRelV relativeFrom="margin">
              <wp14:pctHeight>0</wp14:pctHeight>
            </wp14:sizeRelV>
          </wp:anchor>
        </w:drawing>
      </w:r>
      <w:r w:rsidR="00AE1F61">
        <w:t xml:space="preserve">PN … </w:t>
      </w:r>
    </w:p>
    <w:p w14:paraId="4EB151A3" w14:textId="77777777" w:rsidR="00AE1F61" w:rsidRDefault="00AE1F61" w:rsidP="00AE1F61">
      <w:pPr>
        <w:spacing w:after="0"/>
      </w:pPr>
      <w:r>
        <w:t>DN/OD …</w:t>
      </w:r>
    </w:p>
    <w:p w14:paraId="0395BF4C" w14:textId="77777777" w:rsidR="00AE1F61" w:rsidRDefault="00AE1F61" w:rsidP="00AE1F61">
      <w:pPr>
        <w:spacing w:after="0"/>
      </w:pPr>
      <w:r>
        <w:t>SDR ...</w:t>
      </w:r>
    </w:p>
    <w:p w14:paraId="22D87B5C" w14:textId="77777777" w:rsidR="00AE1F61" w:rsidRDefault="00AE1F61" w:rsidP="00841F84">
      <w:pPr>
        <w:rPr>
          <w:b/>
        </w:rPr>
      </w:pPr>
    </w:p>
    <w:p w14:paraId="66014D77" w14:textId="77777777" w:rsidR="00F130C9" w:rsidRDefault="00F130C9" w:rsidP="00841F84">
      <w:pPr>
        <w:rPr>
          <w:b/>
        </w:rPr>
      </w:pPr>
    </w:p>
    <w:p w14:paraId="5B05AE4A" w14:textId="77777777" w:rsidR="00F130C9" w:rsidRDefault="00F130C9" w:rsidP="00841F84">
      <w:pPr>
        <w:rPr>
          <w:b/>
        </w:rPr>
      </w:pPr>
    </w:p>
    <w:p w14:paraId="03FC217B" w14:textId="611E388D" w:rsidR="00841F84" w:rsidRPr="0009241A" w:rsidRDefault="00841F84" w:rsidP="00841F84">
      <w:pPr>
        <w:rPr>
          <w:b/>
        </w:rPr>
      </w:pPr>
      <w:r w:rsidRPr="0009241A">
        <w:rPr>
          <w:b/>
        </w:rPr>
        <w:t>Liefernachweis</w:t>
      </w:r>
    </w:p>
    <w:p w14:paraId="7A9D21EE" w14:textId="77777777" w:rsidR="00841F84" w:rsidRDefault="00841F84" w:rsidP="00841F84">
      <w:pPr>
        <w:spacing w:after="0" w:line="240" w:lineRule="auto"/>
      </w:pPr>
      <w:r w:rsidRPr="00F16DFB">
        <w:t>Reinert-Ritz GmbH</w:t>
      </w:r>
    </w:p>
    <w:p w14:paraId="792B94C7" w14:textId="77777777" w:rsidR="00841F84" w:rsidRDefault="00841F84" w:rsidP="00841F84">
      <w:pPr>
        <w:spacing w:after="0" w:line="240" w:lineRule="auto"/>
      </w:pPr>
      <w:r>
        <w:t>Ernst-Heinkel-Straße 2</w:t>
      </w:r>
    </w:p>
    <w:p w14:paraId="17F79719" w14:textId="77777777" w:rsidR="00841F84" w:rsidRDefault="00841F84" w:rsidP="00841F84">
      <w:pPr>
        <w:spacing w:after="0" w:line="240" w:lineRule="auto"/>
      </w:pPr>
      <w:r>
        <w:t>48531 Nordhorn</w:t>
      </w:r>
    </w:p>
    <w:p w14:paraId="106C56DA" w14:textId="77777777" w:rsidR="00841F84" w:rsidRPr="00841F84" w:rsidRDefault="00841F84" w:rsidP="00841F84">
      <w:pPr>
        <w:spacing w:after="0" w:line="240" w:lineRule="auto"/>
      </w:pPr>
      <w:r w:rsidRPr="00841F84">
        <w:t>Tel.: +49 5921 8347-0</w:t>
      </w:r>
    </w:p>
    <w:p w14:paraId="274CA896" w14:textId="77777777" w:rsidR="00841F84" w:rsidRPr="00841F84" w:rsidRDefault="00841F84" w:rsidP="00841F84">
      <w:pPr>
        <w:spacing w:after="0" w:line="240" w:lineRule="auto"/>
      </w:pPr>
      <w:r w:rsidRPr="00841F84">
        <w:t>Fax: +49 5921 8347-25</w:t>
      </w:r>
    </w:p>
    <w:p w14:paraId="42EC4F98" w14:textId="77777777" w:rsidR="00841F84" w:rsidRDefault="0099604A" w:rsidP="00841F84">
      <w:pPr>
        <w:spacing w:after="0" w:line="240" w:lineRule="auto"/>
      </w:pPr>
      <w:hyperlink r:id="rId10" w:history="1">
        <w:r w:rsidR="00841F84" w:rsidRPr="00841F84">
          <w:rPr>
            <w:rStyle w:val="Hyperlink"/>
          </w:rPr>
          <w:t>www.reinert-ritz.de</w:t>
        </w:r>
      </w:hyperlink>
    </w:p>
    <w:p w14:paraId="7EB65088" w14:textId="77777777" w:rsidR="00841F84" w:rsidRPr="00F16DFB" w:rsidRDefault="00841F84" w:rsidP="00841F84">
      <w:pPr>
        <w:spacing w:after="0" w:line="240" w:lineRule="auto"/>
        <w:rPr>
          <w:lang w:val="en-GB"/>
        </w:rPr>
      </w:pPr>
      <w:r w:rsidRPr="0009241A">
        <w:rPr>
          <w:lang w:val="en-GB"/>
        </w:rPr>
        <w:t>Email: contact@reinert-ritz.com</w:t>
      </w:r>
    </w:p>
    <w:p w14:paraId="333C7B33" w14:textId="77777777" w:rsidR="00841F84" w:rsidRPr="00F16DFB" w:rsidRDefault="00841F84" w:rsidP="00841F84">
      <w:pPr>
        <w:rPr>
          <w:lang w:val="en-GB"/>
        </w:rPr>
      </w:pPr>
    </w:p>
    <w:p w14:paraId="324F2EDE" w14:textId="77777777" w:rsidR="00841F84" w:rsidRPr="00F16DFB" w:rsidRDefault="00841F84" w:rsidP="00841F84">
      <w:pPr>
        <w:rPr>
          <w:lang w:val="en-GB"/>
        </w:rPr>
      </w:pPr>
    </w:p>
    <w:sectPr w:rsidR="00841F84" w:rsidRPr="00F16DFB" w:rsidSect="001C1739">
      <w:headerReference w:type="even" r:id="rId11"/>
      <w:headerReference w:type="default" r:id="rId12"/>
      <w:headerReference w:type="first" r:id="rId13"/>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E8126" w14:textId="77777777" w:rsidR="006047F5" w:rsidRDefault="006047F5" w:rsidP="00F94900">
      <w:pPr>
        <w:spacing w:after="0" w:line="240" w:lineRule="auto"/>
      </w:pPr>
      <w:r>
        <w:separator/>
      </w:r>
    </w:p>
  </w:endnote>
  <w:endnote w:type="continuationSeparator" w:id="0">
    <w:p w14:paraId="471FBC64" w14:textId="77777777" w:rsidR="006047F5" w:rsidRDefault="006047F5" w:rsidP="00F94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FD985" w14:textId="77777777" w:rsidR="006047F5" w:rsidRDefault="006047F5" w:rsidP="00F94900">
      <w:pPr>
        <w:spacing w:after="0" w:line="240" w:lineRule="auto"/>
      </w:pPr>
      <w:r>
        <w:separator/>
      </w:r>
    </w:p>
  </w:footnote>
  <w:footnote w:type="continuationSeparator" w:id="0">
    <w:p w14:paraId="6F10705E" w14:textId="77777777" w:rsidR="006047F5" w:rsidRDefault="006047F5" w:rsidP="00F94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9F568" w14:textId="77777777" w:rsidR="00F94900" w:rsidRDefault="0099604A">
    <w:pPr>
      <w:pStyle w:val="Kopfzeile"/>
    </w:pPr>
    <w:r>
      <w:rPr>
        <w:noProof/>
        <w:lang w:eastAsia="de-DE"/>
      </w:rPr>
      <w:pict w14:anchorId="15754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938094" o:spid="_x0000_s2056" type="#_x0000_t75" style="position:absolute;margin-left:0;margin-top:0;width:595pt;height:842pt;z-index:-251657216;mso-position-horizontal:center;mso-position-horizontal-relative:margin;mso-position-vertical:center;mso-position-vertical-relative:margin" o:allowincell="f">
          <v:imagedata r:id="rId1" o:title="RR_Schaufel-Shov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69ACF" w14:textId="77777777" w:rsidR="00F94900" w:rsidRDefault="00841F84">
    <w:pPr>
      <w:pStyle w:val="Kopfzeile"/>
    </w:pPr>
    <w:r>
      <w:rPr>
        <w:noProof/>
        <w:lang w:eastAsia="de-DE"/>
      </w:rPr>
      <mc:AlternateContent>
        <mc:Choice Requires="wps">
          <w:drawing>
            <wp:anchor distT="45720" distB="45720" distL="114300" distR="114300" simplePos="0" relativeHeight="251662336" behindDoc="0" locked="0" layoutInCell="1" allowOverlap="1" wp14:anchorId="4FD3248B" wp14:editId="722DBEBC">
              <wp:simplePos x="0" y="0"/>
              <wp:positionH relativeFrom="page">
                <wp:posOffset>-210688</wp:posOffset>
              </wp:positionH>
              <wp:positionV relativeFrom="paragraph">
                <wp:posOffset>508635</wp:posOffset>
              </wp:positionV>
              <wp:extent cx="1080135" cy="243205"/>
              <wp:effectExtent l="0" t="0" r="508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80135" cy="243205"/>
                      </a:xfrm>
                      <a:prstGeom prst="rect">
                        <a:avLst/>
                      </a:prstGeom>
                      <a:noFill/>
                      <a:ln w="9525">
                        <a:noFill/>
                        <a:miter lim="800000"/>
                        <a:headEnd/>
                        <a:tailEnd/>
                      </a:ln>
                    </wps:spPr>
                    <wps:txbx>
                      <w:txbxContent>
                        <w:p w14:paraId="677DED49" w14:textId="3F11FD5B" w:rsidR="00841F84" w:rsidRPr="00841F84" w:rsidRDefault="002C0513">
                          <w:pPr>
                            <w:rPr>
                              <w:color w:val="8496B0" w:themeColor="text2" w:themeTint="99"/>
                            </w:rPr>
                          </w:pPr>
                          <w:r>
                            <w:rPr>
                              <w:color w:val="8496B0" w:themeColor="text2" w:themeTint="99"/>
                            </w:rPr>
                            <w:t>Version 20</w:t>
                          </w:r>
                          <w:r w:rsidR="00196E22">
                            <w:rPr>
                              <w:color w:val="8496B0" w:themeColor="text2" w:themeTint="99"/>
                            </w:rPr>
                            <w:t>2</w:t>
                          </w:r>
                          <w:r w:rsidR="009D5C88">
                            <w:rPr>
                              <w:color w:val="8496B0" w:themeColor="text2" w:themeTint="99"/>
                            </w:rPr>
                            <w:t>10</w:t>
                          </w:r>
                          <w:r w:rsidR="00437A7B">
                            <w:rPr>
                              <w:color w:val="8496B0" w:themeColor="text2" w:themeTint="99"/>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D3248B" id="_x0000_t202" coordsize="21600,21600" o:spt="202" path="m,l,21600r21600,l21600,xe">
              <v:stroke joinstyle="miter"/>
              <v:path gradientshapeok="t" o:connecttype="rect"/>
            </v:shapetype>
            <v:shape id="Textfeld 2" o:spid="_x0000_s1026" type="#_x0000_t202" style="position:absolute;margin-left:-16.6pt;margin-top:40.05pt;width:85.05pt;height:19.15pt;rotation:-90;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" filled="f" stroked="f">
              <v:textbox>
                <w:txbxContent>
                  <w:p w14:paraId="677DED49" w14:textId="3F11FD5B" w:rsidR="00841F84" w:rsidRPr="00841F84" w:rsidRDefault="002C0513">
                    <w:pPr>
                      <w:rPr>
                        <w:color w:val="8496B0" w:themeColor="text2" w:themeTint="99"/>
                      </w:rPr>
                    </w:pPr>
                    <w:r>
                      <w:rPr>
                        <w:color w:val="8496B0" w:themeColor="text2" w:themeTint="99"/>
                      </w:rPr>
                      <w:t>Version 20</w:t>
                    </w:r>
                    <w:r w:rsidR="00196E22">
                      <w:rPr>
                        <w:color w:val="8496B0" w:themeColor="text2" w:themeTint="99"/>
                      </w:rPr>
                      <w:t>2</w:t>
                    </w:r>
                    <w:r w:rsidR="009D5C88">
                      <w:rPr>
                        <w:color w:val="8496B0" w:themeColor="text2" w:themeTint="99"/>
                      </w:rPr>
                      <w:t>10</w:t>
                    </w:r>
                    <w:r w:rsidR="00437A7B">
                      <w:rPr>
                        <w:color w:val="8496B0" w:themeColor="text2" w:themeTint="99"/>
                      </w:rPr>
                      <w:t>3</w:t>
                    </w:r>
                  </w:p>
                </w:txbxContent>
              </v:textbox>
              <w10:wrap anchorx="page"/>
            </v:shape>
          </w:pict>
        </mc:Fallback>
      </mc:AlternateContent>
    </w:r>
    <w:r w:rsidR="0099604A">
      <w:rPr>
        <w:noProof/>
        <w:lang w:eastAsia="de-DE"/>
      </w:rPr>
      <w:pict w14:anchorId="5FFB3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938095" o:spid="_x0000_s2057" type="#_x0000_t75" style="position:absolute;margin-left:0;margin-top:0;width:595pt;height:842pt;z-index:-251656192;mso-position-horizontal:center;mso-position-horizontal-relative:margin;mso-position-vertical:center;mso-position-vertical-relative:margin" o:allowincell="f">
          <v:imagedata r:id="rId1" o:title="RR_Schaufel-Shove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A1C1C" w14:textId="77777777" w:rsidR="00F94900" w:rsidRDefault="0099604A">
    <w:pPr>
      <w:pStyle w:val="Kopfzeile"/>
    </w:pPr>
    <w:r>
      <w:rPr>
        <w:noProof/>
        <w:lang w:eastAsia="de-DE"/>
      </w:rPr>
      <w:pict w14:anchorId="4331C5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938093" o:spid="_x0000_s2055" type="#_x0000_t75" style="position:absolute;margin-left:0;margin-top:0;width:595pt;height:842pt;z-index:-251658240;mso-position-horizontal:center;mso-position-horizontal-relative:margin;mso-position-vertical:center;mso-position-vertical-relative:margin" o:allowincell="f">
          <v:imagedata r:id="rId1" o:title="RR_Schaufel-Sho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571931"/>
    <w:multiLevelType w:val="hybridMultilevel"/>
    <w:tmpl w:val="C226B7DC"/>
    <w:lvl w:ilvl="0" w:tplc="D86A1C5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861EDB"/>
    <w:multiLevelType w:val="hybridMultilevel"/>
    <w:tmpl w:val="07A48E10"/>
    <w:lvl w:ilvl="0" w:tplc="F83CE1D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900"/>
    <w:rsid w:val="0000076C"/>
    <w:rsid w:val="00016BC5"/>
    <w:rsid w:val="00196E22"/>
    <w:rsid w:val="001A7F6F"/>
    <w:rsid w:val="001C1739"/>
    <w:rsid w:val="002C0513"/>
    <w:rsid w:val="00320C7F"/>
    <w:rsid w:val="00352591"/>
    <w:rsid w:val="003C5A77"/>
    <w:rsid w:val="00437A7B"/>
    <w:rsid w:val="00571120"/>
    <w:rsid w:val="005845DE"/>
    <w:rsid w:val="006047F5"/>
    <w:rsid w:val="00656CD3"/>
    <w:rsid w:val="00683E05"/>
    <w:rsid w:val="00684591"/>
    <w:rsid w:val="00841F84"/>
    <w:rsid w:val="008B36BF"/>
    <w:rsid w:val="0096521A"/>
    <w:rsid w:val="0099604A"/>
    <w:rsid w:val="009D5C88"/>
    <w:rsid w:val="009E6F70"/>
    <w:rsid w:val="00AE1F61"/>
    <w:rsid w:val="00D93803"/>
    <w:rsid w:val="00E66C6C"/>
    <w:rsid w:val="00ED3358"/>
    <w:rsid w:val="00ED7293"/>
    <w:rsid w:val="00F130C9"/>
    <w:rsid w:val="00F218EC"/>
    <w:rsid w:val="00F94900"/>
    <w:rsid w:val="00FA5D5D"/>
    <w:rsid w:val="00FD4E2F"/>
    <w:rsid w:val="00FF18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585C1F7"/>
  <w15:chartTrackingRefBased/>
  <w15:docId w15:val="{3D148427-9523-48E7-9F64-3A202B3A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1F8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9490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4900"/>
  </w:style>
  <w:style w:type="paragraph" w:styleId="Fuzeile">
    <w:name w:val="footer"/>
    <w:basedOn w:val="Standard"/>
    <w:link w:val="FuzeileZchn"/>
    <w:uiPriority w:val="99"/>
    <w:unhideWhenUsed/>
    <w:rsid w:val="00F9490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4900"/>
  </w:style>
  <w:style w:type="character" w:styleId="Hyperlink">
    <w:name w:val="Hyperlink"/>
    <w:basedOn w:val="Absatz-Standardschriftart"/>
    <w:uiPriority w:val="99"/>
    <w:unhideWhenUsed/>
    <w:rsid w:val="00841F84"/>
    <w:rPr>
      <w:color w:val="0563C1" w:themeColor="hyperlink"/>
      <w:u w:val="single"/>
    </w:rPr>
  </w:style>
  <w:style w:type="paragraph" w:styleId="Sprechblasentext">
    <w:name w:val="Balloon Text"/>
    <w:basedOn w:val="Standard"/>
    <w:link w:val="SprechblasentextZchn"/>
    <w:uiPriority w:val="99"/>
    <w:semiHidden/>
    <w:unhideWhenUsed/>
    <w:rsid w:val="00FD4E2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4E2F"/>
    <w:rPr>
      <w:rFonts w:ascii="Segoe UI" w:hAnsi="Segoe UI" w:cs="Segoe UI"/>
      <w:sz w:val="18"/>
      <w:szCs w:val="18"/>
    </w:rPr>
  </w:style>
  <w:style w:type="paragraph" w:styleId="Listenabsatz">
    <w:name w:val="List Paragraph"/>
    <w:basedOn w:val="Standard"/>
    <w:uiPriority w:val="34"/>
    <w:qFormat/>
    <w:rsid w:val="00AE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inert-ritz.d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3622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Ausschreibungstext PE100 VP-Flansch</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 PE100 VP-Flansch</dc:title>
  <dc:subject/>
  <dc:creator>Michael Stichternath</dc:creator>
  <cp:keywords/>
  <dc:description/>
  <cp:lastModifiedBy>Bianca Voshaar</cp:lastModifiedBy>
  <cp:revision>3</cp:revision>
  <cp:lastPrinted>2017-06-23T06:21:00Z</cp:lastPrinted>
  <dcterms:created xsi:type="dcterms:W3CDTF">2021-03-10T10:55:00Z</dcterms:created>
  <dcterms:modified xsi:type="dcterms:W3CDTF">2021-03-11T14:47:00Z</dcterms:modified>
</cp:coreProperties>
</file>